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Data</w:t>
      </w:r>
      <w:r>
        <w:t xml:space="preserve"> </w:t>
      </w:r>
      <w:r>
        <w:t xml:space="preserve">Virtualization:</w:t>
      </w:r>
      <w:r>
        <w:t xml:space="preserve"> </w:t>
      </w:r>
      <w:r>
        <w:t xml:space="preserve">Implementation</w:t>
      </w:r>
      <w:r>
        <w:t xml:space="preserve"> </w:t>
      </w:r>
      <w:r>
        <w:t xml:space="preserve">Guide</w:t>
      </w:r>
      <w:r>
        <w:t xml:space="preserve"> </w:t>
      </w:r>
      <w:r>
        <w:t xml:space="preserve">and</w:t>
      </w:r>
      <w:r>
        <w:t xml:space="preserve"> </w:t>
      </w:r>
      <w:r>
        <w:t xml:space="preserve">Content</w:t>
      </w:r>
      <w:r>
        <w:t xml:space="preserve"> </w:t>
      </w:r>
      <w:r>
        <w:t xml:space="preserve">Framework</w:t>
      </w:r>
    </w:p>
    <w:p>
      <w:pPr>
        <w:pStyle w:val="Author"/>
      </w:pPr>
      <w:r>
        <w:t xml:space="preserve">Technical</w:t>
      </w:r>
      <w:r>
        <w:t xml:space="preserve"> </w:t>
      </w:r>
      <w:r>
        <w:t xml:space="preserve">Documentation</w:t>
      </w:r>
      <w:r>
        <w:t xml:space="preserve"> </w:t>
      </w:r>
      <w:r>
        <w:t xml:space="preserve">Team</w:t>
      </w:r>
    </w:p>
    <w:p>
      <w:pPr>
        <w:pStyle w:val="Date"/>
      </w:pPr>
      <w:r>
        <w:t xml:space="preserve">2026-03-30</w:t>
      </w:r>
    </w:p>
    <w:bookmarkStart w:id="20" w:name="table-of-contents"/>
    <w:p>
      <w:pPr>
        <w:pStyle w:val="Heading1"/>
      </w:pPr>
      <w:r>
        <w:t xml:space="preserve">Table of Contents</w:t>
      </w:r>
    </w:p>
    <w:p>
      <w:pPr>
        <w:pStyle w:val="Compact"/>
        <w:numPr>
          <w:ilvl w:val="0"/>
          <w:numId w:val="1001"/>
        </w:numPr>
      </w:pPr>
      <w:hyperlink w:anchor="executive-summary">
        <w:r>
          <w:rPr>
            <w:rStyle w:val="Hyperlink"/>
          </w:rPr>
          <w:t xml:space="preserve">Executive Summary</w:t>
        </w:r>
      </w:hyperlink>
    </w:p>
    <w:p>
      <w:pPr>
        <w:pStyle w:val="Compact"/>
        <w:numPr>
          <w:ilvl w:val="0"/>
          <w:numId w:val="1001"/>
        </w:numPr>
      </w:pPr>
      <w:hyperlink w:anchor="data-virtualization-overview">
        <w:r>
          <w:rPr>
            <w:rStyle w:val="Hyperlink"/>
          </w:rPr>
          <w:t xml:space="preserve">Data Virtualization Overview</w:t>
        </w:r>
      </w:hyperlink>
    </w:p>
    <w:p>
      <w:pPr>
        <w:pStyle w:val="Compact"/>
        <w:numPr>
          <w:ilvl w:val="0"/>
          <w:numId w:val="1001"/>
        </w:numPr>
      </w:pPr>
      <w:hyperlink w:anchor="implementation-framework">
        <w:r>
          <w:rPr>
            <w:rStyle w:val="Hyperlink"/>
          </w:rPr>
          <w:t xml:space="preserve">Implementation Framework</w:t>
        </w:r>
      </w:hyperlink>
    </w:p>
    <w:p>
      <w:pPr>
        <w:pStyle w:val="Compact"/>
        <w:numPr>
          <w:ilvl w:val="0"/>
          <w:numId w:val="1001"/>
        </w:numPr>
      </w:pPr>
      <w:hyperlink w:anchor="technical-architecture">
        <w:r>
          <w:rPr>
            <w:rStyle w:val="Hyperlink"/>
          </w:rPr>
          <w:t xml:space="preserve">Technical Architecture</w:t>
        </w:r>
      </w:hyperlink>
    </w:p>
    <w:p>
      <w:pPr>
        <w:pStyle w:val="Compact"/>
        <w:numPr>
          <w:ilvl w:val="0"/>
          <w:numId w:val="1001"/>
        </w:numPr>
      </w:pPr>
      <w:hyperlink w:anchor="best-practices-and-recommendations">
        <w:r>
          <w:rPr>
            <w:rStyle w:val="Hyperlink"/>
          </w:rPr>
          <w:t xml:space="preserve">Best Practices and Recommendations</w:t>
        </w:r>
      </w:hyperlink>
    </w:p>
    <w:p>
      <w:pPr>
        <w:pStyle w:val="Compact"/>
        <w:numPr>
          <w:ilvl w:val="0"/>
          <w:numId w:val="1001"/>
        </w:numPr>
      </w:pPr>
      <w:hyperlink w:anchor="content-development-strategy">
        <w:r>
          <w:rPr>
            <w:rStyle w:val="Hyperlink"/>
          </w:rPr>
          <w:t xml:space="preserve">Content Development Strategy</w:t>
        </w:r>
      </w:hyperlink>
    </w:p>
    <w:p>
      <w:pPr>
        <w:pStyle w:val="Compact"/>
        <w:numPr>
          <w:ilvl w:val="0"/>
          <w:numId w:val="1001"/>
        </w:numPr>
      </w:pPr>
      <w:hyperlink w:anchor="next-steps-and-action-items">
        <w:r>
          <w:rPr>
            <w:rStyle w:val="Hyperlink"/>
          </w:rPr>
          <w:t xml:space="preserve">Next Steps and Action Items</w:t>
        </w:r>
      </w:hyperlink>
    </w:p>
    <w:bookmarkEnd w:id="20"/>
    <w:bookmarkStart w:id="21" w:name="executive-summary"/>
    <w:p>
      <w:pPr>
        <w:pStyle w:val="Heading1"/>
      </w:pPr>
      <w:r>
        <w:t xml:space="preserve">Executive Summary</w:t>
      </w:r>
    </w:p>
    <w:p>
      <w:pPr>
        <w:pStyle w:val="FirstParagraph"/>
      </w:pPr>
      <w:r>
        <w:t xml:space="preserve">Data virtualization represents a transformative approach to enterprise data management, enabling organizations to access and integrate data from multiple sources without physical data movement. This implementation guide provides a comprehensive framework for deploying data virtualization solutions, with specific focus on Azure-based implementations and enterprise-grade architectures.</w:t>
      </w:r>
    </w:p>
    <w:p>
      <w:pPr>
        <w:pStyle w:val="BlockText"/>
      </w:pPr>
      <w:r>
        <w:rPr>
          <w:b/>
          <w:bCs/>
        </w:rPr>
        <w:t xml:space="preserve">Key Value Proposition</w:t>
      </w:r>
      <w:r>
        <w:t xml:space="preserve">: Data virtualization eliminates traditional ETL pipeline complexity while providing real-time access to distributed data sources, reducing infrastructure costs by up to 40% and accelerating time-to-insight from weeks to hours</w:t>
      </w:r>
      <w:r>
        <w:t xml:space="preserve"> </w:t>
      </w:r>
      <w:hyperlink w:anchor="ref-1">
        <w:r>
          <w:rPr>
            <w:rStyle w:val="Hyperlink"/>
          </w:rPr>
          <w:t xml:space="preserve">[1]</w:t>
        </w:r>
      </w:hyperlink>
      <w:r>
        <w:t xml:space="preserve">.</w:t>
      </w:r>
    </w:p>
    <w:bookmarkEnd w:id="21"/>
    <w:bookmarkStart w:id="24" w:name="data-virtualization-overview"/>
    <w:p>
      <w:pPr>
        <w:pStyle w:val="Heading1"/>
      </w:pPr>
      <w:r>
        <w:t xml:space="preserve">Data Virtualization Overview</w:t>
      </w:r>
    </w:p>
    <w:bookmarkStart w:id="22" w:name="core-concept-and-benefits"/>
    <w:p>
      <w:pPr>
        <w:pStyle w:val="Heading2"/>
      </w:pPr>
      <w:r>
        <w:t xml:space="preserve">Core Concept and Benefits</w:t>
      </w:r>
    </w:p>
    <w:p>
      <w:pPr>
        <w:pStyle w:val="FirstParagraph"/>
      </w:pPr>
      <w:r>
        <w:t xml:space="preserve">Data virtualization creates an abstraction layer between data consumers and distributed data sources, presenting a unified interface while data remains in its original location. This approach addresses critical enterprise challenges:</w:t>
      </w:r>
    </w:p>
    <w:p>
      <w:pPr>
        <w:pStyle w:val="BodyText"/>
      </w:pPr>
      <w:r>
        <w:rPr>
          <w:b/>
          <w:bCs/>
        </w:rPr>
        <w:t xml:space="preserve">Primary Benefits: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Real-time Data Access</w:t>
      </w:r>
      <w:r>
        <w:t xml:space="preserve">: Eliminates batch processing delays inherent in traditional ETL approaches</w:t>
      </w:r>
      <w:r>
        <w:t xml:space="preserve"> </w:t>
      </w:r>
      <w:hyperlink w:anchor="ref-2">
        <w:r>
          <w:rPr>
            <w:rStyle w:val="Hyperlink"/>
          </w:rPr>
          <w:t xml:space="preserve">[2]</w:t>
        </w:r>
      </w:hyperlink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Cost Reduction</w:t>
      </w:r>
      <w:r>
        <w:t xml:space="preserve">: Minimizes storage duplication and infrastructure requirements by 30-50%</w:t>
      </w:r>
      <w:r>
        <w:t xml:space="preserve"> </w:t>
      </w:r>
      <w:hyperlink w:anchor="ref-3">
        <w:r>
          <w:rPr>
            <w:rStyle w:val="Hyperlink"/>
          </w:rPr>
          <w:t xml:space="preserve">[3]</w:t>
        </w:r>
      </w:hyperlink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Enhanced Agility</w:t>
      </w:r>
      <w:r>
        <w:t xml:space="preserve">: Enables rapid integration of new data sources without pipeline modifications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Improved Governance</w:t>
      </w:r>
      <w:r>
        <w:t xml:space="preserve">: Maintains data in original systems with existing security and compliance controls</w:t>
      </w:r>
    </w:p>
    <w:bookmarkEnd w:id="22"/>
    <w:bookmarkStart w:id="23" w:name="architecture-patterns"/>
    <w:p>
      <w:pPr>
        <w:pStyle w:val="Heading2"/>
      </w:pPr>
      <w:r>
        <w:t xml:space="preserve">Architecture Patterns</w:t>
      </w:r>
    </w:p>
    <w:p>
      <w:pPr>
        <w:pStyle w:val="FirstParagraph"/>
      </w:pPr>
      <w:r>
        <w:t xml:space="preserve">Modern data virtualization implementations follow three primary architectural patterns: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Layered Architecture</w:t>
      </w:r>
      <w:r>
        <w:t xml:space="preserve">: Separates data sources, virtualization layer, and consumption interfaces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Service-Oriented Architecture</w:t>
      </w:r>
      <w:r>
        <w:t xml:space="preserve">: Provides standardized APIs for data access across the enterprise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Hub-and-Spoke Model</w:t>
      </w:r>
      <w:r>
        <w:t xml:space="preserve">: Centralizes data virtualization management while maintaining distributed sources</w:t>
      </w:r>
      <w:r>
        <w:t xml:space="preserve"> </w:t>
      </w:r>
      <w:hyperlink w:anchor="ref-4">
        <w:r>
          <w:rPr>
            <w:rStyle w:val="Hyperlink"/>
          </w:rPr>
          <w:t xml:space="preserve">[4]</w:t>
        </w:r>
      </w:hyperlink>
    </w:p>
    <w:bookmarkEnd w:id="23"/>
    <w:bookmarkEnd w:id="24"/>
    <w:bookmarkStart w:id="28" w:name="implementation-framework"/>
    <w:p>
      <w:pPr>
        <w:pStyle w:val="Heading1"/>
      </w:pPr>
      <w:r>
        <w:t xml:space="preserve">Implementation Framework</w:t>
      </w:r>
    </w:p>
    <w:bookmarkStart w:id="25" w:name="phase-1-assessment-and-planning"/>
    <w:p>
      <w:pPr>
        <w:pStyle w:val="Heading2"/>
      </w:pPr>
      <w:r>
        <w:t xml:space="preserve">Phase 1: Assessment and Planning</w:t>
      </w:r>
    </w:p>
    <w:p>
      <w:pPr>
        <w:pStyle w:val="FirstParagraph"/>
      </w:pPr>
      <w:r>
        <w:rPr>
          <w:b/>
          <w:bCs/>
        </w:rPr>
        <w:t xml:space="preserve">Objective</w:t>
      </w:r>
      <w:r>
        <w:t xml:space="preserve">: Establish foundation for successful data virtualization deployment</w:t>
      </w:r>
    </w:p>
    <w:p>
      <w:pPr>
        <w:pStyle w:val="BodyText"/>
      </w:pPr>
      <w:r>
        <w:rPr>
          <w:b/>
          <w:bCs/>
        </w:rPr>
        <w:t xml:space="preserve">Key Activities: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Data Source Inventory</w:t>
      </w:r>
      <w:r>
        <w:t xml:space="preserve">: Catalog existing data sources, formats, and access patterns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Use Case Prioritization</w:t>
      </w:r>
      <w:r>
        <w:t xml:space="preserve">: Identify high-value scenarios for initial implementation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Performance Requirements</w:t>
      </w:r>
      <w:r>
        <w:t xml:space="preserve">: Define latency, throughput, and availability specifications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Governance Integration</w:t>
      </w:r>
      <w:r>
        <w:t xml:space="preserve">: Align with existing data governance and security policies</w:t>
      </w:r>
    </w:p>
    <w:p>
      <w:pPr>
        <w:pStyle w:val="FirstParagraph"/>
      </w:pPr>
      <w:r>
        <w:t xml:space="preserve">⚠️</w:t>
      </w:r>
      <w:r>
        <w:t xml:space="preserve"> </w:t>
      </w:r>
      <w:r>
        <w:rPr>
          <w:b/>
          <w:bCs/>
        </w:rPr>
        <w:t xml:space="preserve">Critical Success Factor</w:t>
      </w:r>
      <w:r>
        <w:t xml:space="preserve">: Start with a focused pilot project targeting 2-3 high-value use cases before scaling to enterprise-wide deployment.</w:t>
      </w:r>
    </w:p>
    <w:bookmarkEnd w:id="25"/>
    <w:bookmarkStart w:id="26" w:name="phase-2-technical-architecture-design"/>
    <w:p>
      <w:pPr>
        <w:pStyle w:val="Heading2"/>
      </w:pPr>
      <w:r>
        <w:t xml:space="preserve">Phase 2: Technical Architecture Design</w:t>
      </w:r>
    </w:p>
    <w:p>
      <w:pPr>
        <w:pStyle w:val="FirstParagraph"/>
      </w:pPr>
      <w:r>
        <w:rPr>
          <w:b/>
          <w:bCs/>
        </w:rPr>
        <w:t xml:space="preserve">Core Components: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Component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Function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Implementation Considerations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Data Virtualization Layer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Query translation and routing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Choose between federated query engines or specialized platforms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Metadata Management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Schema discovery and cataloging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Integrate with existing data catalog solutions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Security Framework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Authentication and authorization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Implement role-based access control (RBAC)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Performance Optimization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Caching and query optimization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Design intelligent caching strategies for frequently accessed data</w:t>
            </w:r>
          </w:p>
        </w:tc>
      </w:tr>
    </w:tbl>
    <w:bookmarkEnd w:id="26"/>
    <w:bookmarkStart w:id="27" w:name="phase-3-azure-implementation-strategy"/>
    <w:p>
      <w:pPr>
        <w:pStyle w:val="Heading2"/>
      </w:pPr>
      <w:r>
        <w:t xml:space="preserve">Phase 3: Azure Implementation Strategy</w:t>
      </w:r>
    </w:p>
    <w:p>
      <w:pPr>
        <w:pStyle w:val="FirstParagraph"/>
      </w:pPr>
      <w:r>
        <w:rPr>
          <w:b/>
          <w:bCs/>
        </w:rPr>
        <w:t xml:space="preserve">Azure-Specific Capabilities:</w:t>
      </w:r>
    </w:p>
    <w:p>
      <w:pPr>
        <w:pStyle w:val="BodyText"/>
      </w:pPr>
      <w:r>
        <w:t xml:space="preserve">Azure SQL Database's data virtualization feature (Preview) enables direct querying of external data sources using T-SQL syntax</w:t>
      </w:r>
      <w:r>
        <w:t xml:space="preserve"> </w:t>
      </w:r>
      <w:hyperlink w:anchor="ref-5">
        <w:r>
          <w:rPr>
            <w:rStyle w:val="Hyperlink"/>
          </w:rPr>
          <w:t xml:space="preserve">[5]</w:t>
        </w:r>
      </w:hyperlink>
      <w:r>
        <w:t xml:space="preserve">:</w:t>
      </w:r>
    </w:p>
    <w:p>
      <w:pPr>
        <w:pStyle w:val="SourceCode"/>
      </w:pPr>
      <w:r>
        <w:rPr>
          <w:rStyle w:val="CommentTok"/>
        </w:rPr>
        <w:t xml:space="preserve">-- Example: Query external Parquet files in Azure Data Lake</w:t>
      </w:r>
      <w:r>
        <w:br/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TOP 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 vendorID, tpepPickupDateTime, passengerCount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OPENROWSET(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BULK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'yellow/*/*/*.parquet'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DATA_SOURCE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'NYCTaxiExternalDataSource'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FORMAT</w:t>
      </w:r>
      <w:r>
        <w:rPr>
          <w:rStyle w:val="OperatorTok"/>
        </w:rPr>
        <w:t xml:space="preserve">=</w:t>
      </w:r>
      <w:r>
        <w:rPr>
          <w:rStyle w:val="StringTok"/>
        </w:rPr>
        <w:t xml:space="preserve">'PARQUET'</w:t>
      </w:r>
      <w:r>
        <w:br/>
      </w:r>
      <w:r>
        <w:rPr>
          <w:rStyle w:val="NormalTok"/>
        </w:rPr>
        <w:t xml:space="preserve">) </w:t>
      </w:r>
      <w:r>
        <w:rPr>
          <w:rStyle w:val="KeywordTok"/>
        </w:rPr>
        <w:t xml:space="preserve">WITH</w:t>
      </w:r>
      <w:r>
        <w:rPr>
          <w:rStyle w:val="NormalTok"/>
        </w:rPr>
        <w:t xml:space="preserve"> (</w:t>
      </w:r>
      <w:r>
        <w:br/>
      </w:r>
      <w:r>
        <w:rPr>
          <w:rStyle w:val="NormalTok"/>
        </w:rPr>
        <w:t xml:space="preserve">    vendorID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    tpepPickupDateTime datetime2,</w:t>
      </w:r>
      <w:r>
        <w:br/>
      </w:r>
      <w:r>
        <w:rPr>
          <w:rStyle w:val="NormalTok"/>
        </w:rPr>
        <w:t xml:space="preserve">    passengerCount </w:t>
      </w:r>
      <w:r>
        <w:rPr>
          <w:rStyle w:val="DataTypeTok"/>
        </w:rPr>
        <w:t xml:space="preserve">int</w:t>
      </w:r>
      <w:r>
        <w:br/>
      </w:r>
      <w:r>
        <w:rPr>
          <w:rStyle w:val="NormalTok"/>
        </w:rPr>
        <w:t xml:space="preserve">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nyc;</w:t>
      </w:r>
    </w:p>
    <w:p>
      <w:pPr>
        <w:pStyle w:val="FirstParagraph"/>
      </w:pPr>
      <w:r>
        <w:rPr>
          <w:b/>
          <w:bCs/>
        </w:rPr>
        <w:t xml:space="preserve">Integration Points: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Azure Data Lake Storage Gen2</w:t>
      </w:r>
      <w:r>
        <w:t xml:space="preserve">: Primary storage for structured and semi-structured data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Azure Blob Storage</w:t>
      </w:r>
      <w:r>
        <w:t xml:space="preserve">: Support for CSV, Parquet, and Delta formats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Azure SQL Managed Instance</w:t>
      </w:r>
      <w:r>
        <w:t xml:space="preserve">: Enterprise-grade data virtualization capabilities</w:t>
      </w:r>
    </w:p>
    <w:bookmarkEnd w:id="27"/>
    <w:bookmarkEnd w:id="28"/>
    <w:bookmarkStart w:id="31" w:name="technical-architecture"/>
    <w:p>
      <w:pPr>
        <w:pStyle w:val="Heading1"/>
      </w:pPr>
      <w:r>
        <w:t xml:space="preserve">Technical Architecture</w:t>
      </w:r>
    </w:p>
    <w:bookmarkStart w:id="29" w:name="data-source-integration"/>
    <w:p>
      <w:pPr>
        <w:pStyle w:val="Heading2"/>
      </w:pPr>
      <w:r>
        <w:t xml:space="preserve">Data Source Integration</w:t>
      </w:r>
    </w:p>
    <w:p>
      <w:pPr>
        <w:pStyle w:val="FirstParagraph"/>
      </w:pPr>
      <w:r>
        <w:rPr>
          <w:b/>
          <w:bCs/>
        </w:rPr>
        <w:t xml:space="preserve">Supported Data Types: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Structured Data</w:t>
      </w:r>
      <w:r>
        <w:t xml:space="preserve">: Relational databases (SQL Server, PostgreSQL, Oracle)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Semi-Structured Data</w:t>
      </w:r>
      <w:r>
        <w:t xml:space="preserve">: JSON, XML, Parquet files in cloud storage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Unstructured Data</w:t>
      </w:r>
      <w:r>
        <w:t xml:space="preserve">: Document stores and NoSQL databases</w:t>
      </w:r>
    </w:p>
    <w:p>
      <w:pPr>
        <w:pStyle w:val="Compact"/>
        <w:numPr>
          <w:ilvl w:val="0"/>
          <w:numId w:val="1006"/>
        </w:numPr>
      </w:pPr>
      <w:r>
        <w:rPr>
          <w:b/>
          <w:bCs/>
        </w:rPr>
        <w:t xml:space="preserve">Streaming Data</w:t>
      </w:r>
      <w:r>
        <w:t xml:space="preserve">: Real-time event streams and IoT data sources</w:t>
      </w:r>
    </w:p>
    <w:bookmarkEnd w:id="29"/>
    <w:bookmarkStart w:id="30" w:name="query-processing-architecture"/>
    <w:p>
      <w:pPr>
        <w:pStyle w:val="Heading2"/>
      </w:pPr>
      <w:r>
        <w:t xml:space="preserve">Query Processing Architecture</w:t>
      </w:r>
    </w:p>
    <w:p>
      <w:pPr>
        <w:pStyle w:val="FirstParagraph"/>
      </w:pPr>
      <w:r>
        <w:t xml:space="preserve">The virtualization layer implements a sophisticated query processing pipeline: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Query Parsing</w:t>
      </w:r>
      <w:r>
        <w:t xml:space="preserve">: Analyze incoming queries and identify required data sources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Query Optimization</w:t>
      </w:r>
      <w:r>
        <w:t xml:space="preserve">: Apply cost-based optimization across federated sources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Parallel Execution</w:t>
      </w:r>
      <w:r>
        <w:t xml:space="preserve">: Distribute sub-queries to appropriate source systems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Result Aggregation</w:t>
      </w:r>
      <w:r>
        <w:t xml:space="preserve">: Combine and format results for consumer applications</w:t>
      </w:r>
    </w:p>
    <w:p>
      <w:pPr>
        <w:pStyle w:val="FirstParagraph"/>
      </w:pPr>
      <w:r>
        <w:t xml:space="preserve">💡</w:t>
      </w:r>
      <w:r>
        <w:t xml:space="preserve"> </w:t>
      </w:r>
      <w:r>
        <w:rPr>
          <w:b/>
          <w:bCs/>
        </w:rPr>
        <w:t xml:space="preserve">Performance Tip</w:t>
      </w:r>
      <w:r>
        <w:t xml:space="preserve">: Implement intelligent caching at the virtualization layer to reduce latency for frequently accessed data patterns by up to 80%.</w:t>
      </w:r>
    </w:p>
    <w:bookmarkEnd w:id="30"/>
    <w:bookmarkEnd w:id="31"/>
    <w:bookmarkStart w:id="34" w:name="best-practices-and-recommendations"/>
    <w:p>
      <w:pPr>
        <w:pStyle w:val="Heading1"/>
      </w:pPr>
      <w:r>
        <w:t xml:space="preserve">Best Practices and Recommendations</w:t>
      </w:r>
    </w:p>
    <w:bookmarkStart w:id="32" w:name="design-principles"/>
    <w:p>
      <w:pPr>
        <w:pStyle w:val="Heading2"/>
      </w:pPr>
      <w:r>
        <w:t xml:space="preserve">Design Principles</w:t>
      </w:r>
    </w:p>
    <w:p>
      <w:pPr>
        <w:pStyle w:val="FirstParagraph"/>
      </w:pPr>
      <w:r>
        <w:rPr>
          <w:b/>
          <w:bCs/>
        </w:rPr>
        <w:t xml:space="preserve">1. Start Small and Scale Incrementally</w:t>
      </w:r>
    </w:p>
    <w:p>
      <w:pPr>
        <w:pStyle w:val="Compact"/>
        <w:numPr>
          <w:ilvl w:val="0"/>
          <w:numId w:val="1008"/>
        </w:numPr>
      </w:pPr>
      <w:r>
        <w:t xml:space="preserve">Begin with pilot projects focusing on specific business use cases</w:t>
      </w:r>
    </w:p>
    <w:p>
      <w:pPr>
        <w:pStyle w:val="Compact"/>
        <w:numPr>
          <w:ilvl w:val="0"/>
          <w:numId w:val="1008"/>
        </w:numPr>
      </w:pPr>
      <w:r>
        <w:t xml:space="preserve">Gradually expand to additional data sources and consumer applications</w:t>
      </w:r>
    </w:p>
    <w:p>
      <w:pPr>
        <w:pStyle w:val="Compact"/>
        <w:numPr>
          <w:ilvl w:val="0"/>
          <w:numId w:val="1008"/>
        </w:numPr>
      </w:pPr>
      <w:r>
        <w:t xml:space="preserve">Monitor performance metrics and optimize before scaling</w:t>
      </w:r>
    </w:p>
    <w:p>
      <w:pPr>
        <w:pStyle w:val="FirstParagraph"/>
      </w:pPr>
      <w:r>
        <w:rPr>
          <w:b/>
          <w:bCs/>
        </w:rPr>
        <w:t xml:space="preserve">2. Implement Robust Governance</w:t>
      </w:r>
    </w:p>
    <w:p>
      <w:pPr>
        <w:pStyle w:val="Compact"/>
        <w:numPr>
          <w:ilvl w:val="0"/>
          <w:numId w:val="1009"/>
        </w:numPr>
      </w:pPr>
      <w:r>
        <w:t xml:space="preserve">Integrate with existing data governance frameworks</w:t>
      </w:r>
    </w:p>
    <w:p>
      <w:pPr>
        <w:pStyle w:val="Compact"/>
        <w:numPr>
          <w:ilvl w:val="0"/>
          <w:numId w:val="1009"/>
        </w:numPr>
      </w:pPr>
      <w:r>
        <w:t xml:space="preserve">Establish clear data lineage and provenance tracking</w:t>
      </w:r>
    </w:p>
    <w:p>
      <w:pPr>
        <w:pStyle w:val="Compact"/>
        <w:numPr>
          <w:ilvl w:val="0"/>
          <w:numId w:val="1009"/>
        </w:numPr>
      </w:pPr>
      <w:r>
        <w:t xml:space="preserve">Implement comprehensive audit logging for compliance requirements</w:t>
      </w:r>
    </w:p>
    <w:p>
      <w:pPr>
        <w:pStyle w:val="FirstParagraph"/>
      </w:pPr>
      <w:r>
        <w:rPr>
          <w:b/>
          <w:bCs/>
        </w:rPr>
        <w:t xml:space="preserve">3. Optimize for Performance</w:t>
      </w:r>
    </w:p>
    <w:p>
      <w:pPr>
        <w:pStyle w:val="Compact"/>
        <w:numPr>
          <w:ilvl w:val="0"/>
          <w:numId w:val="1010"/>
        </w:numPr>
      </w:pPr>
      <w:r>
        <w:t xml:space="preserve">Design intelligent caching strategies based on data access patterns</w:t>
      </w:r>
    </w:p>
    <w:p>
      <w:pPr>
        <w:pStyle w:val="Compact"/>
        <w:numPr>
          <w:ilvl w:val="0"/>
          <w:numId w:val="1010"/>
        </w:numPr>
      </w:pPr>
      <w:r>
        <w:t xml:space="preserve">Implement query optimization techniques specific to federated environments</w:t>
      </w:r>
    </w:p>
    <w:p>
      <w:pPr>
        <w:pStyle w:val="Compact"/>
        <w:numPr>
          <w:ilvl w:val="0"/>
          <w:numId w:val="1010"/>
        </w:numPr>
      </w:pPr>
      <w:r>
        <w:t xml:space="preserve">Monitor and tune performance continuously</w:t>
      </w:r>
    </w:p>
    <w:bookmarkEnd w:id="32"/>
    <w:bookmarkStart w:id="33" w:name="common-implementation-challenges"/>
    <w:p>
      <w:pPr>
        <w:pStyle w:val="Heading2"/>
      </w:pPr>
      <w:r>
        <w:t xml:space="preserve">Common Implementation Challenges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Challenge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Impact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Mitigation Strategy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Query Performance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Slow response times for complex federated queries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Implement strategic caching and query optimization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Data Consistency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Potential inconsistencies across real-time sources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Design appropriate consistency models for use cases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Security Complexity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Managing access controls across multiple systems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Centralize authentication with federated authorization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/>
                <w:bCs/>
              </w:rPr>
              <w:t xml:space="preserve">Network Dependencies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Increased reliance on network connectivity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Implement resilient architectures with failover capabilities</w:t>
            </w:r>
          </w:p>
        </w:tc>
      </w:tr>
    </w:tbl>
    <w:bookmarkEnd w:id="33"/>
    <w:bookmarkEnd w:id="34"/>
    <w:bookmarkStart w:id="37" w:name="content-development-strategy"/>
    <w:p>
      <w:pPr>
        <w:pStyle w:val="Heading1"/>
      </w:pPr>
      <w:r>
        <w:t xml:space="preserve">Content Development Strategy</w:t>
      </w:r>
    </w:p>
    <w:bookmarkStart w:id="35" w:name="training-and-documentation-framework"/>
    <w:p>
      <w:pPr>
        <w:pStyle w:val="Heading2"/>
      </w:pPr>
      <w:r>
        <w:t xml:space="preserve">Training and Documentation Framework</w:t>
      </w:r>
    </w:p>
    <w:p>
      <w:pPr>
        <w:pStyle w:val="FirstParagraph"/>
      </w:pPr>
      <w:r>
        <w:rPr>
          <w:b/>
          <w:bCs/>
        </w:rPr>
        <w:t xml:space="preserve">Target Audiences: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Data Engineers</w:t>
      </w:r>
      <w:r>
        <w:t xml:space="preserve">: Technical implementation and maintenance procedures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Business Analysts</w:t>
      </w:r>
      <w:r>
        <w:t xml:space="preserve">: Self-service data access and query capabilities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Solution Architects</w:t>
      </w:r>
      <w:r>
        <w:t xml:space="preserve">: Integration patterns and design guidelines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Data Governance Teams</w:t>
      </w:r>
      <w:r>
        <w:t xml:space="preserve">: Policy implementation and compliance monitoring</w:t>
      </w:r>
    </w:p>
    <w:p>
      <w:pPr>
        <w:pStyle w:val="FirstParagraph"/>
      </w:pPr>
      <w:r>
        <w:rPr>
          <w:b/>
          <w:bCs/>
        </w:rPr>
        <w:t xml:space="preserve">Content Types:</w:t>
      </w:r>
    </w:p>
    <w:p>
      <w:pPr>
        <w:pStyle w:val="Compact"/>
        <w:numPr>
          <w:ilvl w:val="0"/>
          <w:numId w:val="1012"/>
        </w:numPr>
      </w:pPr>
      <w:r>
        <w:rPr>
          <w:b/>
          <w:bCs/>
        </w:rPr>
        <w:t xml:space="preserve">Implementation Guides</w:t>
      </w:r>
      <w:r>
        <w:t xml:space="preserve">: Step-by-step technical procedures</w:t>
      </w:r>
    </w:p>
    <w:p>
      <w:pPr>
        <w:pStyle w:val="Compact"/>
        <w:numPr>
          <w:ilvl w:val="0"/>
          <w:numId w:val="1012"/>
        </w:numPr>
      </w:pPr>
      <w:r>
        <w:rPr>
          <w:b/>
          <w:bCs/>
        </w:rPr>
        <w:t xml:space="preserve">Best Practice Documents</w:t>
      </w:r>
      <w:r>
        <w:t xml:space="preserve">: Proven patterns and recommendations</w:t>
      </w:r>
    </w:p>
    <w:p>
      <w:pPr>
        <w:pStyle w:val="Compact"/>
        <w:numPr>
          <w:ilvl w:val="0"/>
          <w:numId w:val="1012"/>
        </w:numPr>
      </w:pPr>
      <w:r>
        <w:rPr>
          <w:b/>
          <w:bCs/>
        </w:rPr>
        <w:t xml:space="preserve">Troubleshooting Resources</w:t>
      </w:r>
      <w:r>
        <w:t xml:space="preserve">: Common issues and resolution procedures</w:t>
      </w:r>
    </w:p>
    <w:p>
      <w:pPr>
        <w:pStyle w:val="Compact"/>
        <w:numPr>
          <w:ilvl w:val="0"/>
          <w:numId w:val="1012"/>
        </w:numPr>
      </w:pPr>
      <w:r>
        <w:rPr>
          <w:b/>
          <w:bCs/>
        </w:rPr>
        <w:t xml:space="preserve">Training Materials</w:t>
      </w:r>
      <w:r>
        <w:t xml:space="preserve">: Role-based learning paths and certification programs</w:t>
      </w:r>
    </w:p>
    <w:bookmarkEnd w:id="35"/>
    <w:bookmarkStart w:id="36" w:name="knowledge-management-approach"/>
    <w:p>
      <w:pPr>
        <w:pStyle w:val="Heading2"/>
      </w:pPr>
      <w:r>
        <w:t xml:space="preserve">Knowledge Management Approach</w:t>
      </w:r>
    </w:p>
    <w:p>
      <w:pPr>
        <w:pStyle w:val="FirstParagraph"/>
      </w:pPr>
      <w:r>
        <w:rPr>
          <w:b/>
          <w:bCs/>
        </w:rPr>
        <w:t xml:space="preserve">Documentation Structure: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Getting Started Guides</w:t>
      </w:r>
      <w:r>
        <w:t xml:space="preserve">: Quick-start procedures for new users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Reference Documentation</w:t>
      </w:r>
      <w:r>
        <w:t xml:space="preserve">: Comprehensive technical specifications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Use Case Libraries</w:t>
      </w:r>
      <w:r>
        <w:t xml:space="preserve">: Industry-specific implementation examples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Community Resources</w:t>
      </w:r>
      <w:r>
        <w:t xml:space="preserve">: Forums, FAQs, and user-contributed content</w:t>
      </w:r>
    </w:p>
    <w:bookmarkEnd w:id="36"/>
    <w:bookmarkEnd w:id="37"/>
    <w:bookmarkStart w:id="41" w:name="next-steps-and-action-items"/>
    <w:p>
      <w:pPr>
        <w:pStyle w:val="Heading1"/>
      </w:pPr>
      <w:r>
        <w:t xml:space="preserve">Next Steps and Action Items</w:t>
      </w:r>
    </w:p>
    <w:bookmarkStart w:id="38" w:name="immediate-actions-next-30-days"/>
    <w:p>
      <w:pPr>
        <w:pStyle w:val="Heading2"/>
      </w:pPr>
      <w:r>
        <w:t xml:space="preserve">Immediate Actions (Next 30 Days)</w:t>
      </w:r>
    </w:p>
    <w:p>
      <w:pPr>
        <w:pStyle w:val="Compact"/>
        <w:numPr>
          <w:ilvl w:val="0"/>
          <w:numId w:val="1014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Stakeholder Alignment</w:t>
      </w:r>
      <w:r>
        <w:t xml:space="preserve">: Conduct executive briefing on data virtualization strategy</w:t>
      </w:r>
    </w:p>
    <w:p>
      <w:pPr>
        <w:pStyle w:val="Compact"/>
        <w:numPr>
          <w:ilvl w:val="0"/>
          <w:numId w:val="1014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Pilot Project Selection</w:t>
      </w:r>
      <w:r>
        <w:t xml:space="preserve">: Identify and prioritize initial use cases for implementation</w:t>
      </w:r>
    </w:p>
    <w:p>
      <w:pPr>
        <w:pStyle w:val="Compact"/>
        <w:numPr>
          <w:ilvl w:val="0"/>
          <w:numId w:val="1014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Technical Assessment</w:t>
      </w:r>
      <w:r>
        <w:t xml:space="preserve">: Evaluate current infrastructure readiness and gaps</w:t>
      </w:r>
    </w:p>
    <w:p>
      <w:pPr>
        <w:pStyle w:val="Compact"/>
        <w:numPr>
          <w:ilvl w:val="0"/>
          <w:numId w:val="1014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Team Formation</w:t>
      </w:r>
      <w:r>
        <w:t xml:space="preserve">: Assemble cross-functional implementation team</w:t>
      </w:r>
    </w:p>
    <w:bookmarkEnd w:id="38"/>
    <w:bookmarkStart w:id="39" w:name="short-term-objectives-3-6-months"/>
    <w:p>
      <w:pPr>
        <w:pStyle w:val="Heading2"/>
      </w:pPr>
      <w:r>
        <w:t xml:space="preserve">Short-term Objectives (3-6 Months)</w:t>
      </w:r>
    </w:p>
    <w:p>
      <w:pPr>
        <w:pStyle w:val="Compact"/>
        <w:numPr>
          <w:ilvl w:val="0"/>
          <w:numId w:val="1015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Pilot Implementation</w:t>
      </w:r>
      <w:r>
        <w:t xml:space="preserve">: Deploy initial data virtualization solution for selected use cases</w:t>
      </w:r>
    </w:p>
    <w:p>
      <w:pPr>
        <w:pStyle w:val="Compact"/>
        <w:numPr>
          <w:ilvl w:val="0"/>
          <w:numId w:val="1015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Performance Baseline</w:t>
      </w:r>
      <w:r>
        <w:t xml:space="preserve">: Establish metrics and monitoring for pilot deployment</w:t>
      </w:r>
    </w:p>
    <w:p>
      <w:pPr>
        <w:pStyle w:val="Compact"/>
        <w:numPr>
          <w:ilvl w:val="0"/>
          <w:numId w:val="1015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User Training</w:t>
      </w:r>
      <w:r>
        <w:t xml:space="preserve">: Develop and deliver training programs for key user groups</w:t>
      </w:r>
    </w:p>
    <w:p>
      <w:pPr>
        <w:pStyle w:val="Compact"/>
        <w:numPr>
          <w:ilvl w:val="0"/>
          <w:numId w:val="1015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Governance Integration</w:t>
      </w:r>
      <w:r>
        <w:t xml:space="preserve">: Implement data governance policies and procedures</w:t>
      </w:r>
    </w:p>
    <w:bookmarkEnd w:id="39"/>
    <w:bookmarkStart w:id="40" w:name="long-term-goals-6-12-months"/>
    <w:p>
      <w:pPr>
        <w:pStyle w:val="Heading2"/>
      </w:pPr>
      <w:r>
        <w:t xml:space="preserve">Long-term Goals (6-12 Months)</w:t>
      </w:r>
    </w:p>
    <w:p>
      <w:pPr>
        <w:pStyle w:val="Compact"/>
        <w:numPr>
          <w:ilvl w:val="0"/>
          <w:numId w:val="1016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Enterprise Rollout</w:t>
      </w:r>
      <w:r>
        <w:t xml:space="preserve">: Scale successful pilot to additional use cases and data sources</w:t>
      </w:r>
    </w:p>
    <w:p>
      <w:pPr>
        <w:pStyle w:val="Compact"/>
        <w:numPr>
          <w:ilvl w:val="0"/>
          <w:numId w:val="1016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Advanced Features</w:t>
      </w:r>
      <w:r>
        <w:t xml:space="preserve">: Implement sophisticated caching, optimization, and analytics capabilities</w:t>
      </w:r>
    </w:p>
    <w:p>
      <w:pPr>
        <w:pStyle w:val="Compact"/>
        <w:numPr>
          <w:ilvl w:val="0"/>
          <w:numId w:val="1016"/>
        </w:numPr>
      </w:pPr>
      <w:r>
        <w:t xml:space="preserve">☐</w:t>
      </w:r>
      <w:r>
        <w:t xml:space="preserve"> </w:t>
      </w:r>
      <w:r>
        <w:rPr>
          <w:b/>
          <w:bCs/>
        </w:rPr>
        <w:t xml:space="preserve">Continuous Improvement</w:t>
      </w:r>
      <w:r>
        <w:t xml:space="preserve">: Establish ongoing optimization and enhancement processes</w:t>
      </w:r>
    </w:p>
    <w:p>
      <w:r>
        <w:pict>
          <v:rect style="width:0;height:1.5pt" o:hralign="center" o:hrstd="t" o:hr="t"/>
        </w:pict>
      </w:r>
    </w:p>
    <w:bookmarkEnd w:id="40"/>
    <w:bookmarkEnd w:id="41"/>
    <w:bookmarkStart w:id="52" w:name="references"/>
    <w:p>
      <w:pPr>
        <w:pStyle w:val="Heading1"/>
      </w:pPr>
      <w:r>
        <w:t xml:space="preserve">References</w:t>
      </w:r>
    </w:p>
    <w:p>
      <w:pPr>
        <w:pStyle w:val="FirstParagraph"/>
      </w:pPr>
      <w:bookmarkStart w:id="42" w:name="ref-1"/>
      <w:bookmarkEnd w:id="42"/>
      <w:r>
        <w:t xml:space="preserve">[1] NumberAnalytics. (2025).</w:t>
      </w:r>
      <w:r>
        <w:t xml:space="preserve"> </w:t>
      </w:r>
      <w:r>
        <w:rPr>
          <w:i/>
          <w:iCs/>
        </w:rPr>
        <w:t xml:space="preserve">Data Virtualization Strategies and Best Practices</w:t>
      </w:r>
      <w:r>
        <w:t xml:space="preserve">.</w:t>
      </w:r>
      <w:r>
        <w:t xml:space="preserve"> </w:t>
      </w:r>
      <w:hyperlink r:id="rId43">
        <w:r>
          <w:rPr>
            <w:rStyle w:val="Hyperlink"/>
          </w:rPr>
          <w:t xml:space="preserve">https://www.numberanalytics.com/blog/data-virtualization-strategies</w:t>
        </w:r>
      </w:hyperlink>
    </w:p>
    <w:p>
      <w:pPr>
        <w:pStyle w:val="BodyText"/>
      </w:pPr>
      <w:bookmarkStart w:id="44" w:name="ref-2"/>
      <w:bookmarkEnd w:id="44"/>
      <w:r>
        <w:t xml:space="preserve">[2] Hevo Academy. (2025).</w:t>
      </w:r>
      <w:r>
        <w:t xml:space="preserve"> </w:t>
      </w:r>
      <w:r>
        <w:rPr>
          <w:i/>
          <w:iCs/>
        </w:rPr>
        <w:t xml:space="preserve">Data Virtualization: Benefits, Architecture &amp; Best Practices</w:t>
      </w:r>
      <w:r>
        <w:t xml:space="preserve">.</w:t>
      </w:r>
      <w:r>
        <w:t xml:space="preserve"> </w:t>
      </w:r>
      <w:hyperlink r:id="rId45">
        <w:r>
          <w:rPr>
            <w:rStyle w:val="Hyperlink"/>
          </w:rPr>
          <w:t xml:space="preserve">https://hevoacademy.com/data-analytics-resources/data-virtualization/</w:t>
        </w:r>
      </w:hyperlink>
    </w:p>
    <w:p>
      <w:pPr>
        <w:pStyle w:val="BodyText"/>
      </w:pPr>
      <w:bookmarkStart w:id="46" w:name="ref-3"/>
      <w:bookmarkEnd w:id="46"/>
      <w:r>
        <w:t xml:space="preserve">[3] Enterprise Data Manager. (2025).</w:t>
      </w:r>
      <w:r>
        <w:t xml:space="preserve"> </w:t>
      </w:r>
      <w:r>
        <w:rPr>
          <w:i/>
          <w:iCs/>
        </w:rPr>
        <w:t xml:space="preserve">Unlocking Business Value with Data Virtualization</w:t>
      </w:r>
      <w:r>
        <w:t xml:space="preserve">.</w:t>
      </w:r>
      <w:r>
        <w:t xml:space="preserve"> </w:t>
      </w:r>
      <w:hyperlink r:id="rId47">
        <w:r>
          <w:rPr>
            <w:rStyle w:val="Hyperlink"/>
          </w:rPr>
          <w:t xml:space="preserve">https://www.enterprisedatamanager.com/blog/unlocking-business-value-data-virtualization/</w:t>
        </w:r>
      </w:hyperlink>
    </w:p>
    <w:p>
      <w:pPr>
        <w:pStyle w:val="BodyText"/>
      </w:pPr>
      <w:bookmarkStart w:id="48" w:name="ref-4"/>
      <w:bookmarkEnd w:id="48"/>
      <w:r>
        <w:t xml:space="preserve">[4] Spice AI. (2025).</w:t>
      </w:r>
      <w:r>
        <w:t xml:space="preserve"> </w:t>
      </w:r>
      <w:r>
        <w:rPr>
          <w:i/>
          <w:iCs/>
        </w:rPr>
        <w:t xml:space="preserve">What is Data Virtualization? How It Works and When to Use It</w:t>
      </w:r>
      <w:r>
        <w:t xml:space="preserve">.</w:t>
      </w:r>
      <w:r>
        <w:t xml:space="preserve"> </w:t>
      </w:r>
      <w:hyperlink r:id="rId49">
        <w:r>
          <w:rPr>
            <w:rStyle w:val="Hyperlink"/>
          </w:rPr>
          <w:t xml:space="preserve">https://spice.ai/learn/data-virtualization</w:t>
        </w:r>
      </w:hyperlink>
    </w:p>
    <w:p>
      <w:pPr>
        <w:pStyle w:val="BodyText"/>
      </w:pPr>
      <w:bookmarkStart w:id="50" w:name="ref-5"/>
      <w:bookmarkEnd w:id="50"/>
      <w:r>
        <w:t xml:space="preserve">[5] Microsoft Learn. (2025).</w:t>
      </w:r>
      <w:r>
        <w:t xml:space="preserve"> </w:t>
      </w:r>
      <w:r>
        <w:rPr>
          <w:i/>
          <w:iCs/>
        </w:rPr>
        <w:t xml:space="preserve">Data virtualization (Preview) - Azure SQL Database</w:t>
      </w:r>
      <w:r>
        <w:t xml:space="preserve">.</w:t>
      </w:r>
      <w:r>
        <w:t xml:space="preserve"> </w:t>
      </w:r>
      <w:hyperlink r:id="rId51">
        <w:r>
          <w:rPr>
            <w:rStyle w:val="Hyperlink"/>
          </w:rPr>
          <w:t xml:space="preserve">https://learn.microsoft.com/en-us/azure/azure-sql/database/data-virtualization-overview?view=azuresql</w:t>
        </w:r>
      </w:hyperlink>
    </w:p>
    <w:bookmarkEnd w:id="52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 Text"/>
    <w:next w:val="Footnote 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45" Target="https://hevoacademy.com/data-analytics-resources/data-virtualization/" TargetMode="External" /><Relationship Type="http://schemas.openxmlformats.org/officeDocument/2006/relationships/hyperlink" Id="rId51" Target="https://learn.microsoft.com/en-us/azure/azure-sql/database/data-virtualization-overview?view=azuresql" TargetMode="External" /><Relationship Type="http://schemas.openxmlformats.org/officeDocument/2006/relationships/hyperlink" Id="rId49" Target="https://spice.ai/learn/data-virtualization" TargetMode="External" /><Relationship Type="http://schemas.openxmlformats.org/officeDocument/2006/relationships/hyperlink" Id="rId47" Target="https://www.enterprisedatamanager.com/blog/unlocking-business-value-data-virtualization/" TargetMode="External" /><Relationship Type="http://schemas.openxmlformats.org/officeDocument/2006/relationships/hyperlink" Id="rId43" Target="https://www.numberanalytics.com/blog/data-virtualization-strategies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45" Target="https://hevoacademy.com/data-analytics-resources/data-virtualization/" TargetMode="External" /><Relationship Type="http://schemas.openxmlformats.org/officeDocument/2006/relationships/hyperlink" Id="rId51" Target="https://learn.microsoft.com/en-us/azure/azure-sql/database/data-virtualization-overview?view=azuresql" TargetMode="External" /><Relationship Type="http://schemas.openxmlformats.org/officeDocument/2006/relationships/hyperlink" Id="rId49" Target="https://spice.ai/learn/data-virtualization" TargetMode="External" /><Relationship Type="http://schemas.openxmlformats.org/officeDocument/2006/relationships/hyperlink" Id="rId47" Target="https://www.enterprisedatamanager.com/blog/unlocking-business-value-data-virtualization/" TargetMode="External" /><Relationship Type="http://schemas.openxmlformats.org/officeDocument/2006/relationships/hyperlink" Id="rId43" Target="https://www.numberanalytics.com/blog/data-virtualization-strategies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Virtualization: Implementation Guide and Content Framework</dc:title>
  <dc:creator>Technical Documentation Team</dc:creator>
  <cp:keywords/>
  <dcterms:created xsi:type="dcterms:W3CDTF">2026-03-30T20:03:18Z</dcterms:created>
  <dcterms:modified xsi:type="dcterms:W3CDTF">2026-03-30T20:03:18Z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2026-03-30</vt:lpwstr>
  </property>
</Properties>
</file>